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38" w:rsidRPr="00A044BF" w:rsidRDefault="00C66438" w:rsidP="00C66438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T A R I F E</w:t>
      </w:r>
    </w:p>
    <w:p w:rsidR="00C66438" w:rsidRPr="00A044BF" w:rsidRDefault="00C66438" w:rsidP="00C66438">
      <w:pPr>
        <w:jc w:val="center"/>
        <w:rPr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calcularea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preţului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pămîntului</w:t>
      </w:r>
      <w:proofErr w:type="spellEnd"/>
    </w:p>
    <w:p w:rsidR="00C66438" w:rsidRPr="00A044BF" w:rsidRDefault="00C66438" w:rsidP="00C66438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unitate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grad-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hectar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) </w:t>
      </w: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 xml:space="preserve"> lei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I. 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Vînzarea-cumpărarea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,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lîngă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casă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pomicole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color w:val="000000"/>
          <w:sz w:val="28"/>
          <w:szCs w:val="28"/>
          <w:lang w:val="en-US"/>
        </w:rPr>
        <w:t>621,05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II.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Înstrăinarea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forţată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lîngă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casă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pomicole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              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color w:val="000000"/>
          <w:sz w:val="28"/>
          <w:szCs w:val="28"/>
          <w:lang w:val="en-US"/>
        </w:rPr>
        <w:t>1242,08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III.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Excluderea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categoriile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fondului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silvic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precum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circuitul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color w:val="000000"/>
          <w:sz w:val="28"/>
          <w:szCs w:val="28"/>
          <w:lang w:val="en-US"/>
        </w:rPr>
        <w:t>19873,34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IV.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Vînzarea-cumpărarea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intravilanul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localităţilor</w:t>
      </w:r>
      <w:proofErr w:type="spellEnd"/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(</w:t>
      </w:r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cu</w:t>
      </w:r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excepţia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lîngă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casă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)                   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color w:val="000000"/>
          <w:sz w:val="28"/>
          <w:szCs w:val="28"/>
          <w:lang w:val="en-US"/>
        </w:rPr>
        <w:t>19873,34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proofErr w:type="spellStart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Notă</w:t>
      </w:r>
      <w:proofErr w:type="spellEnd"/>
      <w:r w:rsidRPr="00A044BF">
        <w:rPr>
          <w:rFonts w:ascii="Times New Roman CE" w:hAnsi="Times New Roman CE"/>
          <w:b/>
          <w:bCs/>
          <w:color w:val="000000"/>
          <w:sz w:val="28"/>
          <w:szCs w:val="28"/>
          <w:lang w:val="en-US"/>
        </w:rPr>
        <w:t>: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1.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Preţul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va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funcţie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fertilitatea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medie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solului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stabilită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oraşul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satul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(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comuna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)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respectiv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(ă)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cererea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proprietarului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funcţie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fertilitatea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solului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stabilită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respectiv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2.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Preţul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ocupate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obiective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industriale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de transport,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alte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construcţii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precum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altă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decît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calculează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funcţie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fertilitatea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medie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solului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stabilită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republică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3.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cazul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vînzării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utilizate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procesul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tehnologic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aferente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obiectivelor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privatizate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care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privatizează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aferente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obiectivelor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private,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precum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utilizate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procesul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tehnologic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aferente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construcţiilor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nefinalizate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preţul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calculat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conform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tarifelor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specificate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poziţia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IV-a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anexă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aplică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următorii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coeficienţi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: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0,9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municipiul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Chişinău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0,7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oraşele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care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intră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componenţa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municipiului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Chişinău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0,5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satele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(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comunele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) care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intră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componenţa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municipiului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Chişinău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0,5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municipiile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Bălţi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Bender, Tiraspol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0,4 –</w:t>
      </w:r>
      <w:r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 w:val="28"/>
          <w:szCs w:val="28"/>
          <w:lang w:val="en-US"/>
        </w:rPr>
        <w:t>localităţile</w:t>
      </w:r>
      <w:proofErr w:type="spellEnd"/>
      <w:r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 CE" w:hAnsi="Times New Roman CE"/>
          <w:color w:val="000000"/>
          <w:sz w:val="28"/>
          <w:szCs w:val="28"/>
          <w:lang w:val="en-US"/>
        </w:rPr>
        <w:t>intră</w:t>
      </w:r>
      <w:proofErr w:type="spellEnd"/>
      <w:r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componenţa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acestora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0,2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oraşele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Cahul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Căuşeni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Comrat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Edineţ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Hînceşti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Orhei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Rîbniţa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Soroca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Ungheni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Anenii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Criuleni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714D8A">
        <w:rPr>
          <w:rFonts w:ascii="Times New Roman CE" w:hAnsi="Times New Roman CE"/>
          <w:b/>
          <w:color w:val="000000"/>
          <w:sz w:val="28"/>
          <w:szCs w:val="28"/>
          <w:lang w:val="en-US"/>
        </w:rPr>
        <w:t>Ialoveni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Străşeni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0,1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celelalte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oraşe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;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br/>
        <w:t xml:space="preserve">    0,02 –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sate (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comune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).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 4.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Preţul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loturilor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lîngă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casă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întovărăşirilor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pomicole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calculează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prin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aplicarea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coeficientului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0</w:t>
      </w:r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,3</w:t>
      </w:r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tarifele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specificate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poziţia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I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anexă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C66438" w:rsidRPr="00A044BF" w:rsidRDefault="00C66438" w:rsidP="00C66438">
      <w:pPr>
        <w:jc w:val="both"/>
        <w:rPr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   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Prezenta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normă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aplică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calcularea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cuantumului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plăţii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arendă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C66438" w:rsidRPr="00A044BF" w:rsidRDefault="00C66438" w:rsidP="00C66438">
      <w:pPr>
        <w:shd w:val="clear" w:color="auto" w:fill="FFFFFF"/>
        <w:rPr>
          <w:rFonts w:ascii="Times New Roman CE" w:hAnsi="Times New Roman CE"/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7.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Suprafaţa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utilizate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procesul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tehnologic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aferente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obiectivelor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privatizate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care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privatizează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obiectivelor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private,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precum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utilizate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procesul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tehnologic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aferente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construcţiilor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nefinalizate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aprobă</w:t>
      </w:r>
      <w:proofErr w:type="spellEnd"/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proofErr w:type="spellStart"/>
      <w:r w:rsidRPr="00A044BF">
        <w:rPr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proprietate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publică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statului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– de </w:t>
      </w:r>
      <w:proofErr w:type="spellStart"/>
      <w:r w:rsidRPr="00A044BF">
        <w:rPr>
          <w:color w:val="000000"/>
          <w:sz w:val="28"/>
          <w:szCs w:val="28"/>
          <w:lang w:val="en-US"/>
        </w:rPr>
        <w:t>Agenţia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Relaţii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Funciare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şi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Cadastru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color w:val="000000"/>
          <w:sz w:val="28"/>
          <w:szCs w:val="28"/>
          <w:lang w:val="en-US"/>
        </w:rPr>
        <w:t>iar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proprietate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publică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unităţilor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administrativ-teritoriale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–</w:t>
      </w:r>
      <w:r w:rsidRPr="00A044BF">
        <w:rPr>
          <w:rStyle w:val="apple-converted-space"/>
          <w:color w:val="000000"/>
          <w:sz w:val="28"/>
          <w:szCs w:val="28"/>
          <w:lang w:val="en-US"/>
        </w:rPr>
        <w:t> 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consiliile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locale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conform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unui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regulament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aprobat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Guvern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C66438" w:rsidRPr="00A044BF" w:rsidRDefault="00C66438" w:rsidP="00C66438">
      <w:pPr>
        <w:shd w:val="clear" w:color="auto" w:fill="FFFFFF"/>
        <w:rPr>
          <w:rFonts w:ascii="Times New Roman CE" w:hAnsi="Times New Roman CE"/>
          <w:color w:val="000000"/>
          <w:sz w:val="28"/>
          <w:szCs w:val="28"/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lastRenderedPageBreak/>
        <w:t xml:space="preserve">   8.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cazul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cînd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unele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categoria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altă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decît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cea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sînt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trecute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categoria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destinaţie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agricolă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fondului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silvic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preţul</w:t>
      </w:r>
      <w:proofErr w:type="spellEnd"/>
      <w:proofErr w:type="gram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 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normativ</w:t>
      </w:r>
      <w:proofErr w:type="spellEnd"/>
      <w:proofErr w:type="gram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al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pămîntului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se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calculează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pornind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tarifele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specificate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poziţia</w:t>
      </w:r>
      <w:proofErr w:type="spellEnd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I din </w:t>
      </w:r>
      <w:proofErr w:type="spellStart"/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anexă</w:t>
      </w:r>
      <w:proofErr w:type="spellEnd"/>
    </w:p>
    <w:p w:rsidR="00955C35" w:rsidRPr="00C66438" w:rsidRDefault="00C66438" w:rsidP="00C66438">
      <w:pPr>
        <w:rPr>
          <w:lang w:val="en-US"/>
        </w:rPr>
      </w:pPr>
      <w:r w:rsidRPr="00A044BF">
        <w:rPr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rStyle w:val="apple-converted-space"/>
          <w:rFonts w:ascii="Times New Roman CE" w:hAnsi="Times New Roman CE"/>
          <w:color w:val="000000"/>
          <w:sz w:val="28"/>
          <w:szCs w:val="28"/>
          <w:lang w:val="en-US"/>
        </w:rPr>
        <w:t> </w:t>
      </w:r>
      <w:r w:rsidRPr="00A044BF">
        <w:rPr>
          <w:color w:val="000000"/>
          <w:sz w:val="28"/>
          <w:szCs w:val="28"/>
          <w:lang w:val="en-US"/>
        </w:rPr>
        <w:t xml:space="preserve">11.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caz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schimbare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destinației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agricole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și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fondului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silvic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scop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extragere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zăcămintelor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substanțe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minerale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utile, la </w:t>
      </w:r>
      <w:proofErr w:type="spellStart"/>
      <w:r w:rsidRPr="00A044BF">
        <w:rPr>
          <w:color w:val="000000"/>
          <w:sz w:val="28"/>
          <w:szCs w:val="28"/>
          <w:lang w:val="en-US"/>
        </w:rPr>
        <w:t>prețul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normativ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calculat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conform </w:t>
      </w:r>
      <w:proofErr w:type="spellStart"/>
      <w:r w:rsidRPr="00A044BF">
        <w:rPr>
          <w:color w:val="000000"/>
          <w:sz w:val="28"/>
          <w:szCs w:val="28"/>
          <w:lang w:val="en-US"/>
        </w:rPr>
        <w:t>tarifelor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specificate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color w:val="000000"/>
          <w:sz w:val="28"/>
          <w:szCs w:val="28"/>
          <w:lang w:val="en-US"/>
        </w:rPr>
        <w:t>poziția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III-a din </w:t>
      </w:r>
      <w:proofErr w:type="spellStart"/>
      <w:r w:rsidRPr="00A044BF">
        <w:rPr>
          <w:color w:val="000000"/>
          <w:sz w:val="28"/>
          <w:szCs w:val="28"/>
          <w:lang w:val="en-US"/>
        </w:rPr>
        <w:t>anexă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, se </w:t>
      </w:r>
      <w:proofErr w:type="spellStart"/>
      <w:r w:rsidRPr="00A044BF">
        <w:rPr>
          <w:color w:val="000000"/>
          <w:sz w:val="28"/>
          <w:szCs w:val="28"/>
          <w:lang w:val="en-US"/>
        </w:rPr>
        <w:t>aplică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coeficientul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0</w:t>
      </w:r>
      <w:proofErr w:type="gramStart"/>
      <w:r w:rsidRPr="00A044BF">
        <w:rPr>
          <w:color w:val="000000"/>
          <w:sz w:val="28"/>
          <w:szCs w:val="28"/>
          <w:lang w:val="en-US"/>
        </w:rPr>
        <w:t>,2</w:t>
      </w:r>
      <w:proofErr w:type="gramEnd"/>
      <w:r w:rsidRPr="00A044BF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Pr="00A044BF">
        <w:rPr>
          <w:color w:val="000000"/>
          <w:sz w:val="28"/>
          <w:szCs w:val="28"/>
          <w:lang w:val="en-US"/>
        </w:rPr>
        <w:t>condiția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recultivării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și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returnării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menționate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circuitul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agricol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fondul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silvic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conformitate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A044BF">
        <w:rPr>
          <w:color w:val="000000"/>
          <w:sz w:val="28"/>
          <w:szCs w:val="28"/>
          <w:lang w:val="en-US"/>
        </w:rPr>
        <w:t>proiectul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recultivare</w:t>
      </w:r>
      <w:proofErr w:type="spellEnd"/>
      <w:r w:rsidRPr="00A044BF">
        <w:rPr>
          <w:color w:val="000000"/>
          <w:sz w:val="28"/>
          <w:szCs w:val="28"/>
          <w:lang w:val="en-US"/>
        </w:rPr>
        <w:t>.</w:t>
      </w:r>
      <w:r w:rsidRPr="00A044BF">
        <w:rPr>
          <w:color w:val="000000"/>
          <w:sz w:val="28"/>
          <w:szCs w:val="28"/>
          <w:lang w:val="en-US"/>
        </w:rPr>
        <w:br/>
        <w:t xml:space="preserve">   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cazul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A044BF">
        <w:rPr>
          <w:color w:val="000000"/>
          <w:sz w:val="28"/>
          <w:szCs w:val="28"/>
          <w:lang w:val="en-US"/>
        </w:rPr>
        <w:t>recultivarea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exploatate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extragerea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zăcămintelor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substanțe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minerale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utile nu </w:t>
      </w:r>
      <w:proofErr w:type="spellStart"/>
      <w:r w:rsidRPr="00A044BF">
        <w:rPr>
          <w:color w:val="000000"/>
          <w:sz w:val="28"/>
          <w:szCs w:val="28"/>
          <w:lang w:val="en-US"/>
        </w:rPr>
        <w:t>asigură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returnarea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terenurilor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circuitul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agricol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sau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fondul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silvic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color w:val="000000"/>
          <w:sz w:val="28"/>
          <w:szCs w:val="28"/>
          <w:lang w:val="en-US"/>
        </w:rPr>
        <w:t>nivelul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calității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solului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prevăzut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proiectul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recultivare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044BF">
        <w:rPr>
          <w:color w:val="000000"/>
          <w:sz w:val="28"/>
          <w:szCs w:val="28"/>
          <w:lang w:val="en-US"/>
        </w:rPr>
        <w:t>diferența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dintre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gradul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bonitate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solului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</w:t>
      </w:r>
      <w:proofErr w:type="gramStart"/>
      <w:r w:rsidRPr="00A044BF">
        <w:rPr>
          <w:color w:val="000000"/>
          <w:sz w:val="28"/>
          <w:szCs w:val="28"/>
          <w:lang w:val="en-US"/>
        </w:rPr>
        <w:t xml:space="preserve">  </w:t>
      </w:r>
      <w:proofErr w:type="spellStart"/>
      <w:r w:rsidRPr="00A044BF">
        <w:rPr>
          <w:color w:val="000000"/>
          <w:sz w:val="28"/>
          <w:szCs w:val="28"/>
          <w:lang w:val="en-US"/>
        </w:rPr>
        <w:t>pînă</w:t>
      </w:r>
      <w:proofErr w:type="spellEnd"/>
      <w:proofErr w:type="gramEnd"/>
      <w:r w:rsidRPr="00A044BF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color w:val="000000"/>
          <w:sz w:val="28"/>
          <w:szCs w:val="28"/>
          <w:lang w:val="en-US"/>
        </w:rPr>
        <w:t>recultivare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și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după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recultivare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urmează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A044BF">
        <w:rPr>
          <w:color w:val="000000"/>
          <w:sz w:val="28"/>
          <w:szCs w:val="28"/>
          <w:lang w:val="en-US"/>
        </w:rPr>
        <w:t>fi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recuperată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în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funcție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A044BF">
        <w:rPr>
          <w:color w:val="000000"/>
          <w:sz w:val="28"/>
          <w:szCs w:val="28"/>
          <w:lang w:val="en-US"/>
        </w:rPr>
        <w:t>tarifele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stabilite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pentru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fiecare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unitate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grad-</w:t>
      </w:r>
      <w:proofErr w:type="spellStart"/>
      <w:r w:rsidRPr="00A044BF">
        <w:rPr>
          <w:color w:val="000000"/>
          <w:sz w:val="28"/>
          <w:szCs w:val="28"/>
          <w:lang w:val="en-US"/>
        </w:rPr>
        <w:t>hectar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A044BF">
        <w:rPr>
          <w:color w:val="000000"/>
          <w:sz w:val="28"/>
          <w:szCs w:val="28"/>
          <w:lang w:val="en-US"/>
        </w:rPr>
        <w:t>poziția</w:t>
      </w:r>
      <w:proofErr w:type="spellEnd"/>
      <w:r w:rsidRPr="00A044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44BF">
        <w:rPr>
          <w:color w:val="000000"/>
          <w:sz w:val="28"/>
          <w:szCs w:val="28"/>
          <w:lang w:val="en-US"/>
        </w:rPr>
        <w:t>menționată</w:t>
      </w:r>
      <w:proofErr w:type="spellEnd"/>
      <w:r w:rsidRPr="00A044BF">
        <w:rPr>
          <w:color w:val="000000"/>
          <w:sz w:val="28"/>
          <w:szCs w:val="28"/>
          <w:lang w:val="en-US"/>
        </w:rPr>
        <w:t>.</w:t>
      </w:r>
    </w:p>
    <w:sectPr w:rsidR="00955C35" w:rsidRPr="00C66438" w:rsidSect="009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438"/>
    <w:rsid w:val="001157F1"/>
    <w:rsid w:val="001F271C"/>
    <w:rsid w:val="003A038D"/>
    <w:rsid w:val="003E0969"/>
    <w:rsid w:val="005D1E16"/>
    <w:rsid w:val="00691558"/>
    <w:rsid w:val="006D32C6"/>
    <w:rsid w:val="006E00EA"/>
    <w:rsid w:val="008D456D"/>
    <w:rsid w:val="00955C35"/>
    <w:rsid w:val="009C6615"/>
    <w:rsid w:val="00A16430"/>
    <w:rsid w:val="00B75A3C"/>
    <w:rsid w:val="00BA1C5E"/>
    <w:rsid w:val="00BB1893"/>
    <w:rsid w:val="00C66438"/>
    <w:rsid w:val="00D86BBD"/>
    <w:rsid w:val="00DA7375"/>
    <w:rsid w:val="00F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3576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2016-10-20T12:25:00Z</dcterms:created>
  <dcterms:modified xsi:type="dcterms:W3CDTF">2016-10-20T12:26:00Z</dcterms:modified>
</cp:coreProperties>
</file>